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30" w:lineRule="exact"/>
        <w:jc w:val="right"/>
        <w:rPr>
          <w:rFonts w:hint="default" w:ascii="ＭＳ ゴシック" w:hAnsi="ＭＳ ゴシック" w:eastAsia="ＭＳ ゴシック"/>
          <w:color w:val="000000"/>
          <w:spacing w:val="0"/>
          <w:kern w:val="0"/>
        </w:rPr>
      </w:pPr>
    </w:p>
    <w:tbl>
      <w:tblPr>
        <w:tblStyle w:val="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167"/>
      </w:tblGrid>
      <w:tr>
        <w:trPr>
          <w:trHeight w:val="400" w:hRule="atLeast"/>
        </w:trPr>
        <w:tc>
          <w:tcPr>
            <w:tcW w:w="9853" w:type="dxa"/>
            <w:gridSpan w:val="3"/>
            <w:vAlign w:val="top"/>
          </w:tcPr>
          <w:p>
            <w:pPr>
              <w:pStyle w:val="0"/>
              <w:suppressAutoHyphens w:val="1"/>
              <w:kinsoku w:val="0"/>
              <w:autoSpaceDE w:val="0"/>
              <w:autoSpaceDN w:val="0"/>
              <w:spacing w:line="230" w:lineRule="exact"/>
              <w:ind w:left="182"/>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167"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167"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様式第５－（ハ）－②</w:t>
      </w:r>
    </w:p>
    <w:tbl>
      <w:tblPr>
        <w:tblStyle w:val="11"/>
        <w:tblW w:w="980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01"/>
      </w:tblGrid>
      <w:tr>
        <w:trPr>
          <w:trHeight w:val="6978" w:hRule="atLeast"/>
        </w:trPr>
        <w:tc>
          <w:tcPr>
            <w:tcW w:w="9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0" w:leftChars="0" w:right="615" w:rightChars="293" w:firstLineChars="0"/>
              <w:jc w:val="righ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ind w:left="0" w:leftChars="0"/>
              <w:jc w:val="left"/>
              <w:textAlignment w:val="baseline"/>
              <w:rPr>
                <w:rFonts w:hint="default" w:ascii="ＭＳ ゴシック" w:hAnsi="ＭＳ ゴシック" w:eastAsia="ＭＳ ゴシック"/>
                <w:spacing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themeColor="text1"/>
              </w:rPr>
              <w:t>、　　　　　　　　　　　　（注２）の</w:t>
            </w:r>
            <w:r>
              <w:rPr>
                <w:rFonts w:hint="eastAsia" w:ascii="ＭＳ ゴシック" w:hAnsi="ＭＳ ゴシック" w:eastAsia="ＭＳ ゴシック"/>
                <w:color w:val="000000"/>
                <w:spacing w:val="0"/>
                <w:kern w:val="0"/>
                <w:u w:val="single" w:color="auto"/>
              </w:rPr>
              <w:t>増加</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w:t>
            </w:r>
            <w:bookmarkStart w:id="0" w:name="_GoBack"/>
            <w:bookmarkEnd w:id="0"/>
            <w:r>
              <w:rPr>
                <w:rFonts w:hint="eastAsia" w:ascii="ＭＳ ゴシック" w:hAnsi="ＭＳ ゴシック" w:eastAsia="ＭＳ ゴシック"/>
                <w:color w:val="000000"/>
                <w:spacing w:val="0"/>
                <w:kern w:val="0"/>
              </w:rPr>
              <w:t>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005"/>
            </w:tblGrid>
            <w:tr>
              <w:trPr>
                <w:trHeight w:val="372"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05"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306"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05"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overflowPunct w:val="0"/>
              <w:autoSpaceDE w:val="0"/>
              <w:autoSpaceDN w:val="0"/>
              <w:adjustRightInd w:val="0"/>
              <w:spacing w:line="230" w:lineRule="exact"/>
              <w:ind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１　事業開始年月日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２　月平均売上高営業利益率</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Ｂ－Ａ</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指定業種の減少率　　　　　　　　　％</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全体の</w:t>
            </w:r>
            <w:r>
              <w:rPr>
                <w:rFonts w:hint="eastAsia" w:ascii="ＭＳ ゴシック" w:hAnsi="ＭＳ ゴシック" w:eastAsia="ＭＳ ゴシック"/>
                <w:color w:val="000000"/>
                <w:spacing w:val="0"/>
                <w:kern w:val="0"/>
                <w:u w:val="single" w:color="000000"/>
              </w:rPr>
              <w:t>減少率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before="356" w:beforeLines="100" w:beforeAutospacing="0" w:line="230" w:lineRule="exact"/>
              <w:ind w:left="182"/>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p>
          <w:p>
            <w:pPr>
              <w:pStyle w:val="0"/>
              <w:suppressAutoHyphens w:val="1"/>
              <w:kinsoku w:val="0"/>
              <w:overflowPunct w:val="0"/>
              <w:autoSpaceDE w:val="0"/>
              <w:autoSpaceDN w:val="0"/>
              <w:adjustRightInd w:val="0"/>
              <w:spacing w:line="230" w:lineRule="exact"/>
              <w:ind w:left="181"/>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Ａ：申込時点における最近３か月間の月平均売上高営業利益率</w:t>
            </w:r>
          </w:p>
          <w:p>
            <w:pPr>
              <w:pStyle w:val="0"/>
              <w:suppressAutoHyphens w:val="1"/>
              <w:kinsoku w:val="0"/>
              <w:overflowPunct w:val="0"/>
              <w:autoSpaceDE w:val="0"/>
              <w:autoSpaceDN w:val="0"/>
              <w:adjustRightInd w:val="0"/>
              <w:spacing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p>
          <w:p>
            <w:pPr>
              <w:pStyle w:val="0"/>
              <w:suppressAutoHyphens w:val="1"/>
              <w:kinsoku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指定業種の月平均売上高営業利益率　　　　　　　％</w:t>
            </w:r>
          </w:p>
          <w:p>
            <w:pPr>
              <w:pStyle w:val="0"/>
              <w:suppressAutoHyphens w:val="1"/>
              <w:kinsoku w:val="0"/>
              <w:overflowPunct w:val="0"/>
              <w:autoSpaceDE w:val="0"/>
              <w:autoSpaceDN w:val="0"/>
              <w:adjustRightInd w:val="0"/>
              <w:spacing w:before="356" w:beforeLines="100"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全体の月平均売上高営業利益率</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Ｂ：Ａの期間に対応する前年の３か月間の月平均売上高営業利益率</w:t>
            </w:r>
          </w:p>
          <w:p>
            <w:pPr>
              <w:pStyle w:val="0"/>
              <w:suppressAutoHyphens w:val="1"/>
              <w:kinsoku w:val="0"/>
              <w:overflowPunct w:val="0"/>
              <w:autoSpaceDE w:val="0"/>
              <w:autoSpaceDN w:val="0"/>
              <w:adjustRightInd w:val="0"/>
              <w:spacing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w:t>
            </w:r>
          </w:p>
          <w:p>
            <w:pPr>
              <w:pStyle w:val="0"/>
              <w:suppressAutoHyphens w:val="1"/>
              <w:kinsoku w:val="0"/>
              <w:overflowPunct w:val="0"/>
              <w:autoSpaceDE w:val="0"/>
              <w:autoSpaceDN w:val="0"/>
              <w:adjustRightInd w:val="0"/>
              <w:spacing w:before="0" w:beforeLines="0" w:beforeAutospacing="0" w:line="230" w:lineRule="exact"/>
              <w:ind w:left="182"/>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指定業種の月平均売上高営業利益率　　　　　　　％</w:t>
            </w:r>
          </w:p>
          <w:p>
            <w:pPr>
              <w:pStyle w:val="0"/>
              <w:suppressAutoHyphens w:val="1"/>
              <w:kinsoku w:val="0"/>
              <w:overflowPunct w:val="0"/>
              <w:autoSpaceDE w:val="0"/>
              <w:autoSpaceDN w:val="0"/>
              <w:adjustRightInd w:val="0"/>
              <w:spacing w:before="356" w:beforeLines="100"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全体の月平均売上高営業利益率</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wordWrap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1044"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30" w:lineRule="exact"/>
        <w:ind w:left="1044"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（注２）外的要因及び増加している費用を入れる。</w:t>
      </w:r>
    </w:p>
    <w:p>
      <w:pPr>
        <w:pStyle w:val="0"/>
        <w:suppressAutoHyphens w:val="1"/>
        <w:wordWrap w:val="0"/>
        <w:spacing w:line="230" w:lineRule="exact"/>
        <w:ind w:left="1412"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wordWrap w:val="0"/>
        <w:spacing w:line="230" w:lineRule="exact"/>
        <w:ind w:left="754"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24"/>
        <w:numPr>
          <w:ilvl w:val="0"/>
          <w:numId w:val="1"/>
        </w:numPr>
        <w:suppressAutoHyphens w:val="1"/>
        <w:wordWrap w:val="0"/>
        <w:spacing w:line="230" w:lineRule="exact"/>
        <w:ind w:left="754"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sz w:val="20"/>
        </w:rPr>
        <w:t>市町村長又は特別区長から認定を受けた日から３０日以内に金融機関又は信用保証協会に対して、保証の申込みを行うことが必要です。</w:t>
      </w:r>
    </w:p>
    <w:sectPr>
      <w:pgSz w:w="11906" w:h="16838"/>
      <w:pgMar w:top="1190" w:right="1168" w:bottom="567" w:left="1168" w:header="720" w:footer="17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Words>
  <Characters>779</Characters>
  <Application>JUST Note</Application>
  <Lines>61</Lines>
  <Paragraphs>35</Paragraphs>
  <CharactersWithSpaces>1298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